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Performans Görüşmesi ve Gelişim Planı</w:t>
      </w:r>
    </w:p>
    <w:p>
      <w:r>
        <w:rPr>
          <w:b/>
          <w:color w:val="244A64"/>
        </w:rPr>
        <w:t>İnsan Kaynakları  |  Performans Yönetimi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Performans sisteminin amacı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Hedef ve KPI tasarımı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Yetkinlik değerlendirmesi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Ara dönem görüşmeleri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Kalibrasyon ve adalet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Gelişim planı ve sonuçların kullanımı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İnsan Kaynakları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Performans Görüşmesi ve Gelişim Planı</dc:title>
  <dc:subject>Performans Yönetimi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