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Bordro Ön Kontrol Formu</w:t>
      </w:r>
    </w:p>
    <w:p>
      <w:r>
        <w:rPr>
          <w:b/>
          <w:color w:val="244A64"/>
        </w:rPr>
        <w:t>İnsan Kaynakları  |  Ücret ve Bordro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Ücret yönetiminin temel ilkeleri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Brüt-net ve yan hak bileşenleri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Puantaj ve değişken ödemeler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Bordro kontrol noktaları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Ücret gizliliği ve veri güvenliği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Raporlama ve mutabakat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Bordro Ön Kontrol Formu</dc:title>
  <dc:subject>Ücret ve Bordro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