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Rol ve Yetkinlik Analiz Formu</w:t>
      </w:r>
    </w:p>
    <w:p>
      <w:r>
        <w:rPr>
          <w:b/>
          <w:color w:val="244A64"/>
        </w:rPr>
        <w:t>İnsan Kaynakları  |  Organizasyon ve Yetkinlik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Stratejiden organizasyon tasarımına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Rol ve sorumlulukların ayrıştırılması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Görev tanımı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Yetkinlik sözlüğü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Yetkinlik seviye tanımları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 ve sorumluluk matrisi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 ve Yetkinlik Analiz Formu</dc:title>
  <dc:subject>Organizasyon ve Yetkinlik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