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İK Politikası Uygunluk Kontrol Listesi</w:t>
      </w:r>
    </w:p>
    <w:p>
      <w:r>
        <w:rPr>
          <w:b/>
          <w:color w:val="244A64"/>
        </w:rPr>
        <w:t>İnsan Kaynakları  |  İK Politikaları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Politika mimarisi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Etik ve eşitlik ilkeleri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İşe alım ve çalışma düzeni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İzin, disiplin ve şikâyet süreçleri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Veri gizliliği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Yayın, eğitim ve revizyon yönetimi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 Politikası Uygunluk Kontrol Listesi</dc:title>
  <dc:subject>İK Politikaları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