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Süreç Kartı Hazırlama Şablonu</w:t>
      </w:r>
    </w:p>
    <w:p>
      <w:r>
        <w:rPr>
          <w:b/>
          <w:color w:val="244A64"/>
        </w:rPr>
        <w:t>Kalite Yönetimi  |  Süreç Yönetimi</w:t>
      </w:r>
    </w:p>
    <w:p>
      <w:r>
        <w:t>Bu araç, bir süreci SIPOC mantığıyla (Tedarikçi–Girdi–Süreç–Çıktı–Müşteri) tek kartta tanımlamak için kullanılır. Süreç haritalama çalışmasından önce doldurulması önerilir.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Süreç Adı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Süreç Kodu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Süreç Sahibi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Kapsam (Başlangıç–Bitiş)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Amaç</w:t>
      </w:r>
    </w:p>
    <w:p>
      <w:r>
        <w:t>[Sürecin var oluş nedenini tek cümlede yazın]</w:t>
      </w:r>
    </w:p>
    <w:p>
      <w:pPr>
        <w:pStyle w:val="Heading1"/>
      </w:pPr>
      <w:r>
        <w:t>SIPOC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Tedarikçi (S)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Girdi (I)</w:t>
            </w:r>
          </w:p>
        </w:tc>
        <w:tc>
          <w:tcPr>
            <w:tcW w:type="dxa" w:w="287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Süreç Adımları (P)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Çıktı (O)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Müşteri (C)</w:t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8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8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8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Süreç KPI'ları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388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KPI</w:t>
            </w:r>
          </w:p>
        </w:tc>
        <w:tc>
          <w:tcPr>
            <w:tcW w:type="dxa" w:w="2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</w:t>
            </w:r>
          </w:p>
        </w:tc>
        <w:tc>
          <w:tcPr>
            <w:tcW w:type="dxa" w:w="2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Ölçüm Sıklığı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3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3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Riskler ve Kontrol Noktaları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348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Risk / Hata Noktası</w:t>
            </w:r>
          </w:p>
        </w:tc>
        <w:tc>
          <w:tcPr>
            <w:tcW w:type="dxa" w:w="2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Kontrol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Sorumlu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34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34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İlgili Dokümanlar ve Kayıtlar</w:t>
      </w:r>
    </w:p>
    <w:p>
      <w:r>
        <w:t>[Prosedür, form, talimat referanslarını listeleyin]</w:t>
      </w:r>
    </w:p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Kartı Hazırlama Şablonu</dc:title>
  <dc:subject>Süreç Yönetimi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