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Kurumsal Akademi Program Tasarım Formu</w:t>
      </w:r>
    </w:p>
    <w:p>
      <w:r>
        <w:rPr>
          <w:b/>
          <w:color w:val="244A64"/>
        </w:rPr>
        <w:t>Eğitim ve Oryantasyon  |  Akademi Paketleri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Kurumsal akademi vizyonu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Rol bazlı öğrenme yolları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İçerik mimarisi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LMS ve erişim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Ölçme/sertifikasyon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Raporlama ve sürekli geliştirme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Eğitim ve Oryantasyon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Kurumsal Akademi Program Tasarım Formu</dc:title>
  <dc:subject>Akademi Paketleri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