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Bütçe Sapma ve Aksiyon Formu</w:t>
      </w:r>
    </w:p>
    <w:p>
      <w:r>
        <w:rPr>
          <w:b/>
          <w:color w:val="244A64"/>
        </w:rPr>
        <w:t>Yönetici Araçları  |  Bütçe ve Performans Takip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Bütçe varsayımları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Gelir-gider yapısı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Plan-gerçekleşen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Sapma analizi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Tahmin güncelleme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Yönetim aksiyonları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Yönetici Araçları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Bütçe Sapma ve Aksiyon Formu</dc:title>
  <dc:subject>Bütçe ve Performans Takip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